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Construcción de las necesidades: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Por favor responda las siguientes preguntas para construir la necesidad.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rFonts w:ascii="Arial" w:cs="Arial" w:eastAsia="Arial" w:hAnsi="Arial"/>
          <w:rtl w:val="0"/>
        </w:rPr>
        <w:t xml:space="preserve">SALUD PÚBLICA - PROYECTO DE INVERSIÓN 2324 - 2025  “ACCIONES PARA EL CUIDADO DE LA SALUD Y EL BIENESTAR DE LAS Y LOS SUMA PACEÑOS”.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2. </w:t>
      </w:r>
      <w:r w:rsidDel="00000000" w:rsidR="00000000" w:rsidRPr="00000000">
        <w:rPr>
          <w:sz w:val="24"/>
          <w:szCs w:val="24"/>
          <w:rtl w:val="0"/>
        </w:rPr>
        <w:t xml:space="preserve">Vincular 1000 personas personas en acciones complementarias en salud física, nutricional y oral, a través del circuito del cuidado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  <w:t xml:space="preserve">3. La contratación del componente logístico es fundamental para garantizar la adecuada implementación y el éxito de las actividades programadas, especialmente considerando las condiciones geográficas, sociales y de dispersión poblacional propias de la localidad de Sumapaz.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En primer lugar, el servicio de transporte resulta indispensable debido a la ruralidad del territorio, las grandes distancias entre veredas y las limitaciones en el acceso a medios de movilidad. Este componente permite asegurar la presencia oportuna del equipo profesional y de apoyo en cada uno de los encuentros, así como el cumplimiento de la programación establecida.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Asimismo, el suministro avituallamiento es clave para promover la asistencia, permanencia y participación activa de la comunidad, teniendo en cuenta las jornadas prolongadas y las condiciones de acceso a alimentos en algunos sectores del territorio. Este aspecto contribuye al bienestar de los participantes y al logro de los objetivos planteados.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En este sentido, la contratación de estos servicios no solo responde a una necesidad operativa, sino que se constituye en un elemento estratégico para garantizar la cobertura, calidad, eficiencia y pertinencia de las intervenciones en salud, asegurando que las acciones lleguen efectivamente a la población priorizada y generen el impacto esperado.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4. La planificación y diseño de las actividades del Circuito del Cuidado en Sumapaz se realizó a partir de un proceso participativo e intersectorial que incluyó: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Reuniones de articulación interinstitucional: Sesiones con actores del Sistema Distrital de Cuidado, la Red Integral de Atención en Salud (RIAS), el Plan de Salud Pública de Intervenciones Colectivas (PSPIC) y la Secretaría Distrital de Salud, para establecer lineamientos técnicos, definir prioridades y garantizar la coherencia con la estrategia territorial en salud.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Lineamientos del sector salud: Se incorporaron las directrices del Plan de Salud Pública y de las políticas distritales de promoción de la salud, prevención de enfermedades y bienestar integral, asegurando que las actividades respondan a las necesidades identificadas a nivel local y territorial.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Espacios de diálogo comunitario: Encuentros con la comunidad de Sumapaz para identificar necesidades, expectativas y saberes locales, asegurando que las intervenciones sean culturalmente pertinentes, inclusivas y participativas.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Revisión de experiencias previas: Se analizaron proyectos similares y estrategias de intervención comunitaria, lo que permitió ajustar la metodología a las características culturales y geográficas del territorio, garantizando aprendizajes aplicables y sostenibles.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Este proceso integrado permitió diseñar un Circuito del Cuidado que articula las estaciones de Seguridad Alimentaria y Nutricional, Salud Bucal y Movimiento Corporal con metodologías participativas, experienciales y contextualizadas.</w:t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5. La ejecución de estas actividades está directamente orientada al cumplimiento de la meta anual, establecida para 2026: atender a 250 habitantes de Sumapaz a través de seis encuentros experienciales. La contribución se evidencia de la siguiente manera: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Cobertura de beneficiarios: Cada estación del circuito está diseñada para atender a grupos de la población priorizada, asegurando que todos los 250 participantes tengan experiencias significativas en seguridad alimentaria, salud bucal y actividad física.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Eventos programados: Se desarrollarán seis (6) encuentros grupales, cada uno estructurado en dos momentos experienciales por estación, garantizando que cada beneficiario participe de manera integral en el Circuito del Cuidado.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Indicadores de cumplimiento: Asistencia, participación activa, en donde cada beneficiario vivencia las tres estaciones y los momentos experienciales, lo que representa un 100% de cumplimiento de la cobertura de actividades. Impacto en competencias: Se espera que los participantes incorporen prácticas saludables, generando evidencia de cambios en hábitos de alimentación, higiene oral y actividad física, lo que se medirá mediante encuestas o registros de participación y seguimiento en cada estación.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  <w:t xml:space="preserve">6. </w:t>
      </w:r>
      <w:r w:rsidDel="00000000" w:rsidR="00000000" w:rsidRPr="00000000">
        <w:rPr>
          <w:rFonts w:ascii="Arial" w:cs="Arial" w:eastAsia="Arial" w:hAnsi="Arial"/>
          <w:rtl w:val="0"/>
        </w:rPr>
        <w:t xml:space="preserve"> Para el cumplimiento de la meta propuesta, se requiere la contratación del servicio de avituallamiento, el cual garantiza las condiciones de bienestar, permanencia y participación de los beneficiarios durante el desarrollo del encuentro de cierre. A continuación, se detallan los ítems requeridos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3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19.97752808988764"/>
        <w:gridCol w:w="1026.1348314606741"/>
        <w:gridCol w:w="4534.85393258427"/>
        <w:gridCol w:w="1081.303370786517"/>
        <w:gridCol w:w="948.8988764044944"/>
        <w:gridCol w:w="926.8314606741574"/>
        <w:tblGridChange w:id="0">
          <w:tblGrid>
            <w:gridCol w:w="319.97752808988764"/>
            <w:gridCol w:w="1026.1348314606741"/>
            <w:gridCol w:w="4534.85393258427"/>
            <w:gridCol w:w="1081.303370786517"/>
            <w:gridCol w:w="948.8988764044944"/>
            <w:gridCol w:w="926.8314606741574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bCs w:val="1"/>
                <w:rtl w:val="0"/>
              </w:rPr>
              <w:t xml:space="preserve">ITEM O PRODUCTO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bCs w:val="1"/>
                <w:rtl w:val="0"/>
              </w:rPr>
              <w:t xml:space="preserve">DESCRIPICIÓN TÉCNICA (por favor describa a detalle lo que necesita)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bCs w:val="1"/>
                <w:rtl w:val="0"/>
              </w:rPr>
              <w:t xml:space="preserve">CANTIDAD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bCs w:val="1"/>
                <w:rtl w:val="0"/>
              </w:rPr>
              <w:t xml:space="preserve">VALOR UNIDAD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5" w:hRule="atLeast"/>
          <w:tblHeader w:val="0"/>
        </w:trPr>
        <w:tc>
          <w:tcPr>
            <w:tcBorders>
              <w:top w:color="cccccc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after="0" w:line="276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Garamond" w:cs="Garamond" w:eastAsia="Garamond" w:hAnsi="Garamond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Garamond" w:cs="Garamond" w:eastAsia="Garamond" w:hAnsi="Garamond"/>
                <w:rtl w:val="0"/>
              </w:rPr>
              <w:t xml:space="preserve">Refrigerio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line="276" w:lineRule="auto"/>
              <w:rPr>
                <w:rFonts w:ascii="Garamond" w:cs="Garamond" w:eastAsia="Garamond" w:hAnsi="Garamond"/>
              </w:rPr>
            </w:pPr>
            <w:r w:rsidDel="00000000" w:rsidR="00000000" w:rsidRPr="00000000">
              <w:rPr>
                <w:rFonts w:ascii="Garamond" w:cs="Garamond" w:eastAsia="Garamond" w:hAnsi="Garamond"/>
                <w:rtl w:val="0"/>
              </w:rPr>
              <w:t xml:space="preserve">Un (1) Sándwich de 240gr (pan de 40gr (árabe o artesanal) , proteína (carne,pollo,cerdo,pavo,etc) de 130gr, 30 gr de queso (doble crema o mozzarella),40 gr de lechuga (lisa o rizada)) o hamburguesa de 230gr (pan de hamburguesa), proteína animal de 140gr, 30 gr de queso (doble crema o mozzarella), 30 gr de lechuga (lisa o rizada)).</w:t>
            </w:r>
          </w:p>
          <w:p w:rsidR="00000000" w:rsidDel="00000000" w:rsidP="00000000" w:rsidRDefault="00000000" w:rsidRPr="00000000" w14:paraId="00000022">
            <w:pPr>
              <w:widowControl w:val="0"/>
              <w:spacing w:after="0" w:line="276" w:lineRule="auto"/>
              <w:rPr>
                <w:rFonts w:ascii="Garamond" w:cs="Garamond" w:eastAsia="Garamond" w:hAnsi="Garamond"/>
              </w:rPr>
            </w:pPr>
            <w:r w:rsidDel="00000000" w:rsidR="00000000" w:rsidRPr="00000000">
              <w:rPr>
                <w:rFonts w:ascii="Garamond" w:cs="Garamond" w:eastAsia="Garamond" w:hAnsi="Garamond"/>
                <w:rtl w:val="0"/>
              </w:rPr>
              <w:t xml:space="preserve">Una (1) porción de papas chips de 25gr</w:t>
            </w:r>
          </w:p>
          <w:p w:rsidR="00000000" w:rsidDel="00000000" w:rsidP="00000000" w:rsidRDefault="00000000" w:rsidRPr="00000000" w14:paraId="00000023">
            <w:pPr>
              <w:widowControl w:val="0"/>
              <w:spacing w:after="0" w:line="276" w:lineRule="auto"/>
              <w:rPr>
                <w:rFonts w:ascii="Garamond" w:cs="Garamond" w:eastAsia="Garamond" w:hAnsi="Garamond"/>
              </w:rPr>
            </w:pPr>
            <w:r w:rsidDel="00000000" w:rsidR="00000000" w:rsidRPr="00000000">
              <w:rPr>
                <w:rFonts w:ascii="Garamond" w:cs="Garamond" w:eastAsia="Garamond" w:hAnsi="Garamond"/>
                <w:rtl w:val="0"/>
              </w:rPr>
              <w:t xml:space="preserve">Una (1) fruta de mínimo 100 gramos.</w:t>
            </w:r>
          </w:p>
          <w:p w:rsidR="00000000" w:rsidDel="00000000" w:rsidP="00000000" w:rsidRDefault="00000000" w:rsidRPr="00000000" w14:paraId="00000024">
            <w:pPr>
              <w:widowControl w:val="0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Garamond" w:cs="Garamond" w:eastAsia="Garamond" w:hAnsi="Garamond"/>
                <w:rtl w:val="0"/>
              </w:rPr>
              <w:t xml:space="preserve">Una (1) Bebida refresco o néctar de fruta 200 ml o jugo natural en agua servido en vaso de 12 onzas o Bebida caliente de 12 onzas o gaseosa botella plástica de 250 ml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Garamond" w:cs="Garamond" w:eastAsia="Garamond" w:hAnsi="Garamond"/>
                <w:rtl w:val="0"/>
              </w:rPr>
              <w:t xml:space="preserve">1,500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Garamond" w:cs="Garamond" w:eastAsia="Garamond" w:hAnsi="Garamond"/>
                <w:rtl w:val="0"/>
              </w:rPr>
              <w:t xml:space="preserve">$35.89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line="276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Garamond" w:cs="Garamond" w:eastAsia="Garamond" w:hAnsi="Garamond"/>
                <w:rtl w:val="0"/>
              </w:rPr>
              <w:t xml:space="preserve">$53,833,500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Garamond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Garamond-regular.ttf"/><Relationship Id="rId4" Type="http://schemas.openxmlformats.org/officeDocument/2006/relationships/font" Target="fonts/Garamond-bold.ttf"/><Relationship Id="rId5" Type="http://schemas.openxmlformats.org/officeDocument/2006/relationships/font" Target="fonts/Garamond-italic.ttf"/><Relationship Id="rId6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vpOF7JL1GVZv0ehnjWjQkFegkw==">CgMxLjA4AHIhMTF4RjNJN05aWFdVSnZmTDl4WFgzUVhkUWh4cS1mN0FE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